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C739" w14:textId="2E5F1F5C" w:rsidR="001827F5" w:rsidRDefault="001827F5" w:rsidP="00C61A1A">
      <w:pPr>
        <w:tabs>
          <w:tab w:val="left" w:pos="5120"/>
        </w:tabs>
        <w:jc w:val="center"/>
        <w:rPr>
          <w:rFonts w:ascii="Arial" w:hAnsi="Arial" w:cs="Arial"/>
          <w:b/>
          <w:sz w:val="32"/>
          <w:szCs w:val="28"/>
        </w:rPr>
      </w:pPr>
      <w:r>
        <w:rPr>
          <w:noProof/>
        </w:rPr>
        <w:drawing>
          <wp:inline distT="0" distB="0" distL="0" distR="0" wp14:anchorId="1242DC73" wp14:editId="2A0FDAF4">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0488CE1D" w14:textId="1A15BA5F" w:rsidR="00C61A1A" w:rsidRPr="001827F5" w:rsidRDefault="00C61A1A" w:rsidP="00C61A1A">
      <w:pPr>
        <w:tabs>
          <w:tab w:val="left" w:pos="5120"/>
        </w:tabs>
        <w:jc w:val="center"/>
        <w:rPr>
          <w:rFonts w:ascii="Arial Nova" w:hAnsi="Arial Nova" w:cs="Arial"/>
          <w:b/>
          <w:sz w:val="40"/>
          <w:szCs w:val="40"/>
        </w:rPr>
      </w:pPr>
      <w:r w:rsidRPr="001827F5">
        <w:rPr>
          <w:rFonts w:ascii="Arial Nova" w:hAnsi="Arial Nova" w:cs="Arial"/>
          <w:b/>
          <w:color w:val="31849B" w:themeColor="accent5" w:themeShade="BF"/>
          <w:sz w:val="40"/>
          <w:szCs w:val="40"/>
        </w:rPr>
        <w:t>Ant</w:t>
      </w:r>
      <w:r w:rsidR="001827F5">
        <w:rPr>
          <w:rFonts w:ascii="Arial Nova" w:hAnsi="Arial Nova" w:cs="Arial"/>
          <w:b/>
          <w:color w:val="31849B" w:themeColor="accent5" w:themeShade="BF"/>
          <w:sz w:val="40"/>
          <w:szCs w:val="40"/>
        </w:rPr>
        <w:t>i-</w:t>
      </w:r>
      <w:r w:rsidRPr="001827F5">
        <w:rPr>
          <w:rFonts w:ascii="Arial Nova" w:hAnsi="Arial Nova" w:cs="Arial"/>
          <w:b/>
          <w:color w:val="31849B" w:themeColor="accent5" w:themeShade="BF"/>
          <w:sz w:val="40"/>
          <w:szCs w:val="40"/>
        </w:rPr>
        <w:t>Fraud Policy</w:t>
      </w:r>
    </w:p>
    <w:p w14:paraId="54332701" w14:textId="77777777" w:rsidR="00C61A1A" w:rsidRPr="00C620B6" w:rsidRDefault="00C61A1A" w:rsidP="00C61A1A">
      <w:pPr>
        <w:spacing w:after="240"/>
        <w:jc w:val="both"/>
        <w:rPr>
          <w:rFonts w:ascii="Arial" w:hAnsi="Arial" w:cs="Arial"/>
          <w:spacing w:val="14"/>
        </w:rPr>
      </w:pPr>
    </w:p>
    <w:p w14:paraId="496C3145" w14:textId="1AFF17A9" w:rsidR="00C61A1A" w:rsidRPr="00034ECC" w:rsidRDefault="00C61A1A" w:rsidP="00C61A1A">
      <w:pPr>
        <w:spacing w:after="240"/>
        <w:jc w:val="both"/>
        <w:rPr>
          <w:rFonts w:ascii="Arial" w:hAnsi="Arial" w:cs="Arial"/>
          <w:spacing w:val="14"/>
          <w:sz w:val="22"/>
          <w:szCs w:val="22"/>
        </w:rPr>
      </w:pPr>
      <w:r w:rsidRPr="00034ECC">
        <w:rPr>
          <w:rFonts w:ascii="Arial" w:hAnsi="Arial" w:cs="Arial"/>
          <w:spacing w:val="14"/>
          <w:sz w:val="22"/>
          <w:szCs w:val="22"/>
        </w:rPr>
        <w:t xml:space="preserve">Boleskine Community Care (BCC) will not tolerate fraud. BCC recognises that over and above any financial damage suffered, fraud </w:t>
      </w:r>
      <w:r w:rsidR="00F70030" w:rsidRPr="00034ECC">
        <w:rPr>
          <w:rFonts w:ascii="Arial" w:hAnsi="Arial" w:cs="Arial"/>
          <w:spacing w:val="14"/>
          <w:sz w:val="22"/>
          <w:szCs w:val="22"/>
        </w:rPr>
        <w:t>will</w:t>
      </w:r>
      <w:r w:rsidRPr="00034ECC">
        <w:rPr>
          <w:rFonts w:ascii="Arial" w:hAnsi="Arial" w:cs="Arial"/>
          <w:spacing w:val="14"/>
          <w:sz w:val="22"/>
          <w:szCs w:val="22"/>
        </w:rPr>
        <w:t xml:space="preserve"> also reflect adversely on its image and reputation. Its aim therefore is to limit exposure to fraud by:</w:t>
      </w:r>
    </w:p>
    <w:p w14:paraId="21C27F96" w14:textId="4B387E74" w:rsidR="008412DD" w:rsidRPr="009B5458" w:rsidRDefault="00C61A1A" w:rsidP="009B5458">
      <w:pPr>
        <w:numPr>
          <w:ilvl w:val="0"/>
          <w:numId w:val="1"/>
        </w:numPr>
        <w:spacing w:after="240"/>
        <w:jc w:val="both"/>
        <w:rPr>
          <w:rFonts w:ascii="Arial" w:hAnsi="Arial" w:cs="Arial"/>
          <w:spacing w:val="14"/>
          <w:sz w:val="22"/>
          <w:szCs w:val="22"/>
        </w:rPr>
      </w:pPr>
      <w:r w:rsidRPr="00034ECC">
        <w:rPr>
          <w:rFonts w:ascii="Arial" w:hAnsi="Arial" w:cs="Arial"/>
          <w:spacing w:val="14"/>
          <w:sz w:val="22"/>
          <w:szCs w:val="22"/>
        </w:rPr>
        <w:t>Instituting and maintaining effective measures and procedures to deter fraud.</w:t>
      </w:r>
      <w:r w:rsidR="008412DD" w:rsidRPr="00034ECC">
        <w:rPr>
          <w:rFonts w:ascii="Arial" w:hAnsi="Arial" w:cs="Arial"/>
          <w:spacing w:val="14"/>
          <w:sz w:val="22"/>
          <w:szCs w:val="22"/>
        </w:rPr>
        <w:t xml:space="preserve"> </w:t>
      </w:r>
      <w:r w:rsidR="009B5458">
        <w:rPr>
          <w:rFonts w:ascii="Arial" w:hAnsi="Arial" w:cs="Arial"/>
          <w:spacing w:val="14"/>
          <w:sz w:val="22"/>
          <w:szCs w:val="22"/>
        </w:rPr>
        <w:t xml:space="preserve">          </w:t>
      </w:r>
      <w:r w:rsidR="008412DD" w:rsidRPr="009B5458">
        <w:rPr>
          <w:rFonts w:ascii="Arial" w:hAnsi="Arial" w:cs="Arial"/>
          <w:spacing w:val="14"/>
          <w:sz w:val="22"/>
          <w:szCs w:val="22"/>
        </w:rPr>
        <w:t xml:space="preserve">  </w:t>
      </w:r>
      <w:r w:rsidR="009B5458" w:rsidRPr="009B5458">
        <w:rPr>
          <w:rFonts w:ascii="Arial" w:hAnsi="Arial" w:cs="Arial"/>
          <w:spacing w:val="14"/>
          <w:sz w:val="22"/>
          <w:szCs w:val="22"/>
        </w:rPr>
        <w:t xml:space="preserve">(ref: CP22 </w:t>
      </w:r>
      <w:r w:rsidR="008412DD" w:rsidRPr="009B5458">
        <w:rPr>
          <w:rFonts w:ascii="Arial" w:hAnsi="Arial" w:cs="Arial"/>
          <w:spacing w:val="14"/>
          <w:sz w:val="22"/>
          <w:szCs w:val="22"/>
        </w:rPr>
        <w:t>Financial Control Policy</w:t>
      </w:r>
      <w:r w:rsidR="009B5458" w:rsidRPr="009B5458">
        <w:rPr>
          <w:rFonts w:ascii="Arial" w:hAnsi="Arial" w:cs="Arial"/>
          <w:spacing w:val="14"/>
          <w:sz w:val="22"/>
          <w:szCs w:val="22"/>
        </w:rPr>
        <w:t>)</w:t>
      </w:r>
    </w:p>
    <w:p w14:paraId="7BBB5DD8" w14:textId="1239FB83" w:rsidR="00C61A1A" w:rsidRPr="00034ECC" w:rsidRDefault="00C61A1A" w:rsidP="00C61A1A">
      <w:pPr>
        <w:numPr>
          <w:ilvl w:val="0"/>
          <w:numId w:val="1"/>
        </w:numPr>
        <w:spacing w:after="240"/>
        <w:jc w:val="both"/>
        <w:rPr>
          <w:rFonts w:ascii="Arial" w:hAnsi="Arial" w:cs="Arial"/>
          <w:spacing w:val="14"/>
          <w:sz w:val="22"/>
          <w:szCs w:val="22"/>
        </w:rPr>
      </w:pPr>
      <w:r w:rsidRPr="00034ECC">
        <w:rPr>
          <w:rFonts w:ascii="Arial" w:hAnsi="Arial" w:cs="Arial"/>
          <w:spacing w:val="14"/>
          <w:sz w:val="22"/>
          <w:szCs w:val="22"/>
        </w:rPr>
        <w:t xml:space="preserve">Taking firm and vigorous action against any individual or group perpetrating fraud against the </w:t>
      </w:r>
      <w:r w:rsidR="00966C4F" w:rsidRPr="00034ECC">
        <w:rPr>
          <w:rFonts w:ascii="Arial" w:hAnsi="Arial" w:cs="Arial"/>
          <w:spacing w:val="14"/>
          <w:sz w:val="22"/>
          <w:szCs w:val="22"/>
        </w:rPr>
        <w:t>Charity</w:t>
      </w:r>
      <w:r w:rsidRPr="00034ECC">
        <w:rPr>
          <w:rFonts w:ascii="Arial" w:hAnsi="Arial" w:cs="Arial"/>
          <w:spacing w:val="14"/>
          <w:sz w:val="22"/>
          <w:szCs w:val="22"/>
        </w:rPr>
        <w:t>.</w:t>
      </w:r>
    </w:p>
    <w:p w14:paraId="5E0C140A" w14:textId="77777777" w:rsidR="00C61A1A" w:rsidRPr="00034ECC" w:rsidRDefault="00C61A1A" w:rsidP="00C61A1A">
      <w:pPr>
        <w:numPr>
          <w:ilvl w:val="0"/>
          <w:numId w:val="1"/>
        </w:numPr>
        <w:spacing w:after="240"/>
        <w:jc w:val="both"/>
        <w:rPr>
          <w:rFonts w:ascii="Arial" w:hAnsi="Arial" w:cs="Arial"/>
          <w:spacing w:val="14"/>
          <w:sz w:val="22"/>
          <w:szCs w:val="22"/>
        </w:rPr>
      </w:pPr>
      <w:r w:rsidRPr="00034ECC">
        <w:rPr>
          <w:rFonts w:ascii="Arial" w:hAnsi="Arial" w:cs="Arial"/>
          <w:spacing w:val="14"/>
          <w:sz w:val="22"/>
          <w:szCs w:val="22"/>
        </w:rPr>
        <w:t>Encouraging our Board of Trustees and staff to be vigilant and to report any suspicion of fraud, providing them with suitable channels of communication and ensuring sensitive information is treated appropriately.</w:t>
      </w:r>
    </w:p>
    <w:p w14:paraId="1069A51E" w14:textId="3D7F2CBD" w:rsidR="00C61A1A" w:rsidRPr="00034ECC" w:rsidRDefault="00C61A1A" w:rsidP="00C61A1A">
      <w:pPr>
        <w:numPr>
          <w:ilvl w:val="0"/>
          <w:numId w:val="1"/>
        </w:numPr>
        <w:spacing w:after="240"/>
        <w:jc w:val="both"/>
        <w:rPr>
          <w:rFonts w:ascii="Arial" w:hAnsi="Arial" w:cs="Arial"/>
          <w:spacing w:val="14"/>
          <w:sz w:val="22"/>
          <w:szCs w:val="22"/>
        </w:rPr>
      </w:pPr>
      <w:r w:rsidRPr="00034ECC">
        <w:rPr>
          <w:rFonts w:ascii="Arial" w:hAnsi="Arial" w:cs="Arial"/>
          <w:spacing w:val="14"/>
          <w:sz w:val="22"/>
          <w:szCs w:val="22"/>
        </w:rPr>
        <w:t>Rigorously investigating instances of alleged fraud</w:t>
      </w:r>
      <w:r w:rsidR="00035B21" w:rsidRPr="00034ECC">
        <w:rPr>
          <w:rFonts w:ascii="Arial" w:hAnsi="Arial" w:cs="Arial"/>
          <w:spacing w:val="14"/>
          <w:sz w:val="22"/>
          <w:szCs w:val="22"/>
        </w:rPr>
        <w:t>.</w:t>
      </w:r>
    </w:p>
    <w:p w14:paraId="3FF02F70" w14:textId="77777777" w:rsidR="00C61A1A" w:rsidRPr="00034ECC" w:rsidRDefault="00C61A1A" w:rsidP="00C61A1A">
      <w:pPr>
        <w:numPr>
          <w:ilvl w:val="0"/>
          <w:numId w:val="1"/>
        </w:numPr>
        <w:spacing w:after="240"/>
        <w:jc w:val="both"/>
        <w:rPr>
          <w:rFonts w:ascii="Arial" w:hAnsi="Arial" w:cs="Arial"/>
          <w:spacing w:val="14"/>
          <w:sz w:val="22"/>
          <w:szCs w:val="22"/>
        </w:rPr>
      </w:pPr>
      <w:r w:rsidRPr="00034ECC">
        <w:rPr>
          <w:rFonts w:ascii="Arial" w:hAnsi="Arial" w:cs="Arial"/>
          <w:spacing w:val="14"/>
          <w:sz w:val="22"/>
          <w:szCs w:val="22"/>
        </w:rPr>
        <w:t>Assisting the police and all other appropriate authorities in the investigation of those suspected of fraud.</w:t>
      </w:r>
    </w:p>
    <w:p w14:paraId="7C58B6B9" w14:textId="77777777" w:rsidR="00C61A1A" w:rsidRPr="00034ECC" w:rsidRDefault="00C61A1A" w:rsidP="00C61A1A">
      <w:pPr>
        <w:spacing w:after="240"/>
        <w:jc w:val="both"/>
        <w:rPr>
          <w:rFonts w:ascii="Arial" w:hAnsi="Arial" w:cs="Arial"/>
          <w:spacing w:val="14"/>
          <w:sz w:val="22"/>
          <w:szCs w:val="22"/>
        </w:rPr>
      </w:pPr>
      <w:r w:rsidRPr="00034ECC">
        <w:rPr>
          <w:rFonts w:ascii="Arial" w:hAnsi="Arial" w:cs="Arial"/>
          <w:spacing w:val="14"/>
          <w:sz w:val="22"/>
          <w:szCs w:val="22"/>
        </w:rPr>
        <w:t>The detection, prevention and reporting of fraud is the responsibility of all Trustees, management and employees of BCC who are expected:</w:t>
      </w:r>
    </w:p>
    <w:p w14:paraId="7266CBA5" w14:textId="77777777" w:rsidR="00C61A1A" w:rsidRPr="00034ECC" w:rsidRDefault="00C61A1A" w:rsidP="00C61A1A">
      <w:pPr>
        <w:numPr>
          <w:ilvl w:val="0"/>
          <w:numId w:val="2"/>
        </w:numPr>
        <w:spacing w:after="240"/>
        <w:jc w:val="both"/>
        <w:rPr>
          <w:rFonts w:ascii="Arial" w:hAnsi="Arial" w:cs="Arial"/>
          <w:spacing w:val="14"/>
          <w:sz w:val="22"/>
          <w:szCs w:val="22"/>
        </w:rPr>
      </w:pPr>
      <w:r w:rsidRPr="00034ECC">
        <w:rPr>
          <w:rFonts w:ascii="Arial" w:hAnsi="Arial" w:cs="Arial"/>
          <w:spacing w:val="14"/>
          <w:sz w:val="22"/>
          <w:szCs w:val="22"/>
        </w:rPr>
        <w:t>To act with integrity at all times.</w:t>
      </w:r>
    </w:p>
    <w:p w14:paraId="6C9F5D45" w14:textId="4CBFD9C9" w:rsidR="00966C4F" w:rsidRPr="00034ECC" w:rsidRDefault="00C61A1A" w:rsidP="00C61A1A">
      <w:pPr>
        <w:numPr>
          <w:ilvl w:val="0"/>
          <w:numId w:val="2"/>
        </w:numPr>
        <w:spacing w:after="240"/>
        <w:jc w:val="both"/>
        <w:rPr>
          <w:rFonts w:ascii="Arial" w:hAnsi="Arial" w:cs="Arial"/>
          <w:spacing w:val="14"/>
          <w:sz w:val="22"/>
          <w:szCs w:val="22"/>
        </w:rPr>
      </w:pPr>
      <w:r w:rsidRPr="00034ECC">
        <w:rPr>
          <w:rFonts w:ascii="Arial" w:hAnsi="Arial" w:cs="Arial"/>
          <w:spacing w:val="14"/>
          <w:sz w:val="22"/>
          <w:szCs w:val="22"/>
        </w:rPr>
        <w:t>To comply wi</w:t>
      </w:r>
      <w:r w:rsidR="00966C4F" w:rsidRPr="00034ECC">
        <w:rPr>
          <w:rFonts w:ascii="Arial" w:hAnsi="Arial" w:cs="Arial"/>
          <w:spacing w:val="14"/>
          <w:sz w:val="22"/>
          <w:szCs w:val="22"/>
        </w:rPr>
        <w:t xml:space="preserve">th </w:t>
      </w:r>
      <w:r w:rsidR="00035B21" w:rsidRPr="00034ECC">
        <w:rPr>
          <w:rFonts w:ascii="Arial" w:hAnsi="Arial" w:cs="Arial"/>
          <w:spacing w:val="14"/>
          <w:sz w:val="22"/>
          <w:szCs w:val="22"/>
        </w:rPr>
        <w:t>the</w:t>
      </w:r>
      <w:r w:rsidR="00966C4F" w:rsidRPr="00034ECC">
        <w:rPr>
          <w:rFonts w:ascii="Arial" w:hAnsi="Arial" w:cs="Arial"/>
          <w:spacing w:val="14"/>
          <w:sz w:val="22"/>
          <w:szCs w:val="22"/>
        </w:rPr>
        <w:t xml:space="preserve"> Codes of Conduct</w:t>
      </w:r>
      <w:r w:rsidR="00035B21" w:rsidRPr="00034ECC">
        <w:rPr>
          <w:rFonts w:ascii="Arial" w:hAnsi="Arial" w:cs="Arial"/>
          <w:spacing w:val="14"/>
          <w:sz w:val="22"/>
          <w:szCs w:val="22"/>
        </w:rPr>
        <w:t xml:space="preserve"> for Trustees</w:t>
      </w:r>
      <w:r w:rsidR="00966C4F" w:rsidRPr="00034ECC">
        <w:rPr>
          <w:rFonts w:ascii="Arial" w:hAnsi="Arial" w:cs="Arial"/>
          <w:spacing w:val="14"/>
          <w:sz w:val="22"/>
          <w:szCs w:val="22"/>
        </w:rPr>
        <w:t>.</w:t>
      </w:r>
      <w:r w:rsidRPr="00034ECC">
        <w:rPr>
          <w:rFonts w:ascii="Arial" w:hAnsi="Arial" w:cs="Arial"/>
          <w:spacing w:val="14"/>
          <w:sz w:val="22"/>
          <w:szCs w:val="22"/>
        </w:rPr>
        <w:t xml:space="preserve"> </w:t>
      </w:r>
    </w:p>
    <w:p w14:paraId="38CA024C" w14:textId="77777777" w:rsidR="00C61A1A" w:rsidRPr="00034ECC" w:rsidRDefault="00C61A1A" w:rsidP="00C61A1A">
      <w:pPr>
        <w:numPr>
          <w:ilvl w:val="0"/>
          <w:numId w:val="2"/>
        </w:numPr>
        <w:spacing w:after="240"/>
        <w:jc w:val="both"/>
        <w:rPr>
          <w:rFonts w:ascii="Arial" w:hAnsi="Arial" w:cs="Arial"/>
          <w:spacing w:val="14"/>
          <w:sz w:val="22"/>
          <w:szCs w:val="22"/>
        </w:rPr>
      </w:pPr>
      <w:r w:rsidRPr="00034ECC">
        <w:rPr>
          <w:rFonts w:ascii="Arial" w:hAnsi="Arial" w:cs="Arial"/>
          <w:spacing w:val="14"/>
          <w:sz w:val="22"/>
          <w:szCs w:val="22"/>
        </w:rPr>
        <w:t>To raise concerns as soon as any impropriety is suspected.</w:t>
      </w:r>
    </w:p>
    <w:p w14:paraId="38C6FC8B" w14:textId="221FF5FB" w:rsidR="002F0BA5" w:rsidRPr="00034ECC" w:rsidRDefault="000813D4" w:rsidP="000813D4">
      <w:pPr>
        <w:rPr>
          <w:rFonts w:ascii="Arial" w:hAnsi="Arial" w:cs="Arial"/>
          <w:sz w:val="22"/>
          <w:szCs w:val="22"/>
        </w:rPr>
      </w:pPr>
      <w:r w:rsidRPr="00034ECC">
        <w:rPr>
          <w:rFonts w:ascii="Arial" w:hAnsi="Arial" w:cs="Arial"/>
          <w:sz w:val="22"/>
          <w:szCs w:val="22"/>
        </w:rPr>
        <w:t>Any instances of fraud will be dealt with under the disciplinary policy and may be regarded as gross misconduct, leading to summary dismissal.</w:t>
      </w:r>
    </w:p>
    <w:sectPr w:rsidR="002F0BA5" w:rsidRPr="00034ECC" w:rsidSect="001D56CD">
      <w:headerReference w:type="default" r:id="rId8"/>
      <w:footerReference w:type="default" r:id="rId9"/>
      <w:pgSz w:w="11901" w:h="16817"/>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9C29" w14:textId="77777777" w:rsidR="00735C36" w:rsidRDefault="00735C36" w:rsidP="001827F5">
      <w:r>
        <w:separator/>
      </w:r>
    </w:p>
  </w:endnote>
  <w:endnote w:type="continuationSeparator" w:id="0">
    <w:p w14:paraId="41A814EB" w14:textId="77777777" w:rsidR="00735C36" w:rsidRDefault="00735C36" w:rsidP="0018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C2F3" w14:textId="58249031" w:rsidR="001827F5" w:rsidRDefault="00735C36" w:rsidP="00571089">
    <w:pPr>
      <w:pStyle w:val="Footer"/>
      <w:jc w:val="right"/>
    </w:pPr>
    <w:sdt>
      <w:sdtPr>
        <w:rPr>
          <w:sz w:val="22"/>
          <w:szCs w:val="20"/>
          <w:lang w:eastAsia="en-US"/>
        </w:rPr>
        <w:id w:val="-1705238520"/>
        <w:docPartObj>
          <w:docPartGallery w:val="Page Numbers (Top of Page)"/>
          <w:docPartUnique/>
        </w:docPartObj>
      </w:sdtPr>
      <w:sdtEndPr/>
      <w:sdtContent>
        <w:r w:rsidR="001827F5" w:rsidRPr="00006D4D">
          <w:rPr>
            <w:rFonts w:ascii="Arial Nova Light" w:hAnsi="Arial Nova Light"/>
            <w:color w:val="31849B" w:themeColor="accent5" w:themeShade="BF"/>
            <w:sz w:val="18"/>
            <w:szCs w:val="18"/>
            <w:lang w:eastAsia="en-US"/>
          </w:rPr>
          <w:t xml:space="preserve">Page </w:t>
        </w:r>
        <w:r w:rsidR="001827F5" w:rsidRPr="00006D4D">
          <w:rPr>
            <w:rFonts w:ascii="Arial Nova Light" w:hAnsi="Arial Nova Light"/>
            <w:color w:val="31849B" w:themeColor="accent5" w:themeShade="BF"/>
            <w:sz w:val="18"/>
            <w:szCs w:val="18"/>
            <w:lang w:eastAsia="en-US"/>
          </w:rPr>
          <w:fldChar w:fldCharType="begin"/>
        </w:r>
        <w:r w:rsidR="001827F5" w:rsidRPr="00006D4D">
          <w:rPr>
            <w:rFonts w:ascii="Arial Nova Light" w:hAnsi="Arial Nova Light"/>
            <w:color w:val="31849B" w:themeColor="accent5" w:themeShade="BF"/>
            <w:sz w:val="18"/>
            <w:szCs w:val="18"/>
            <w:lang w:eastAsia="en-US"/>
          </w:rPr>
          <w:instrText xml:space="preserve"> PAGE </w:instrText>
        </w:r>
        <w:r w:rsidR="001827F5" w:rsidRPr="00006D4D">
          <w:rPr>
            <w:rFonts w:ascii="Arial Nova Light" w:hAnsi="Arial Nova Light"/>
            <w:color w:val="31849B" w:themeColor="accent5" w:themeShade="BF"/>
            <w:sz w:val="18"/>
            <w:szCs w:val="18"/>
            <w:lang w:eastAsia="en-US"/>
          </w:rPr>
          <w:fldChar w:fldCharType="separate"/>
        </w:r>
        <w:r w:rsidR="001827F5">
          <w:rPr>
            <w:rFonts w:ascii="Arial Nova Light" w:hAnsi="Arial Nova Light"/>
            <w:color w:val="31849B" w:themeColor="accent5" w:themeShade="BF"/>
            <w:sz w:val="18"/>
            <w:szCs w:val="18"/>
            <w:lang w:eastAsia="en-US"/>
          </w:rPr>
          <w:t>1</w:t>
        </w:r>
        <w:r w:rsidR="001827F5" w:rsidRPr="00006D4D">
          <w:rPr>
            <w:rFonts w:ascii="Arial Nova Light" w:hAnsi="Arial Nova Light"/>
            <w:color w:val="31849B" w:themeColor="accent5" w:themeShade="BF"/>
            <w:sz w:val="18"/>
            <w:szCs w:val="18"/>
            <w:lang w:eastAsia="en-US"/>
          </w:rPr>
          <w:fldChar w:fldCharType="end"/>
        </w:r>
        <w:r w:rsidR="001827F5" w:rsidRPr="00006D4D">
          <w:rPr>
            <w:rFonts w:ascii="Arial Nova Light" w:hAnsi="Arial Nova Light"/>
            <w:color w:val="31849B" w:themeColor="accent5" w:themeShade="BF"/>
            <w:sz w:val="18"/>
            <w:szCs w:val="18"/>
            <w:lang w:eastAsia="en-US"/>
          </w:rPr>
          <w:t xml:space="preserve"> of </w:t>
        </w:r>
        <w:r w:rsidR="001827F5" w:rsidRPr="00006D4D">
          <w:rPr>
            <w:rFonts w:ascii="Arial Nova Light" w:hAnsi="Arial Nova Light"/>
            <w:color w:val="31849B" w:themeColor="accent5" w:themeShade="BF"/>
            <w:sz w:val="18"/>
            <w:szCs w:val="18"/>
            <w:lang w:eastAsia="en-US"/>
          </w:rPr>
          <w:fldChar w:fldCharType="begin"/>
        </w:r>
        <w:r w:rsidR="001827F5" w:rsidRPr="00006D4D">
          <w:rPr>
            <w:rFonts w:ascii="Arial Nova Light" w:hAnsi="Arial Nova Light"/>
            <w:color w:val="31849B" w:themeColor="accent5" w:themeShade="BF"/>
            <w:sz w:val="18"/>
            <w:szCs w:val="18"/>
            <w:lang w:eastAsia="en-US"/>
          </w:rPr>
          <w:instrText xml:space="preserve"> NUMPAGES  </w:instrText>
        </w:r>
        <w:r w:rsidR="001827F5" w:rsidRPr="00006D4D">
          <w:rPr>
            <w:rFonts w:ascii="Arial Nova Light" w:hAnsi="Arial Nova Light"/>
            <w:color w:val="31849B" w:themeColor="accent5" w:themeShade="BF"/>
            <w:sz w:val="18"/>
            <w:szCs w:val="18"/>
            <w:lang w:eastAsia="en-US"/>
          </w:rPr>
          <w:fldChar w:fldCharType="separate"/>
        </w:r>
        <w:r w:rsidR="001827F5">
          <w:rPr>
            <w:rFonts w:ascii="Arial Nova Light" w:hAnsi="Arial Nova Light"/>
            <w:color w:val="31849B" w:themeColor="accent5" w:themeShade="BF"/>
            <w:sz w:val="18"/>
            <w:szCs w:val="18"/>
            <w:lang w:eastAsia="en-US"/>
          </w:rPr>
          <w:t>2</w:t>
        </w:r>
        <w:r w:rsidR="001827F5" w:rsidRPr="00006D4D">
          <w:rPr>
            <w:rFonts w:ascii="Arial Nova Light" w:hAnsi="Arial Nova Light"/>
            <w:color w:val="31849B" w:themeColor="accent5" w:themeShade="BF"/>
            <w:sz w:val="18"/>
            <w:szCs w:val="18"/>
            <w:lang w:eastAsia="en-US"/>
          </w:rPr>
          <w:fldChar w:fldCharType="end"/>
        </w:r>
        <w:r w:rsidR="001827F5" w:rsidRPr="00006D4D">
          <w:rPr>
            <w:rFonts w:ascii="Arial Nova Light" w:hAnsi="Arial Nova Light"/>
            <w:color w:val="31849B" w:themeColor="accent5" w:themeShade="BF"/>
            <w:sz w:val="18"/>
            <w:szCs w:val="18"/>
            <w:lang w:eastAsia="en-US"/>
          </w:rPr>
          <w:tab/>
          <w:t>Registration Number: SCO44996</w:t>
        </w:r>
        <w:r w:rsidR="001827F5" w:rsidRPr="00006D4D">
          <w:rPr>
            <w:rFonts w:ascii="Arial Nova Light" w:hAnsi="Arial Nova Light"/>
            <w:color w:val="31849B" w:themeColor="accent5" w:themeShade="BF"/>
            <w:sz w:val="18"/>
            <w:szCs w:val="18"/>
            <w:lang w:eastAsia="en-US"/>
          </w:rPr>
          <w:tab/>
          <w:t xml:space="preserve"> </w:t>
        </w:r>
        <w:r w:rsidR="001827F5" w:rsidRPr="00006D4D">
          <w:rPr>
            <w:rFonts w:ascii="Arial Nova Light" w:hAnsi="Arial Nova Light"/>
            <w:color w:val="31849B" w:themeColor="accent5" w:themeShade="BF"/>
            <w:sz w:val="18"/>
            <w:szCs w:val="18"/>
            <w:lang w:eastAsia="en-US"/>
          </w:rPr>
          <w:tab/>
          <w:t xml:space="preserve">Registered Office: The Hub, Unit 2, Lower Foyers Industrial Estate, Foyers, Inverness IV2 6YB </w:t>
        </w:r>
        <w:r w:rsidR="001827F5" w:rsidRPr="00006D4D">
          <w:rPr>
            <w:rFonts w:ascii="Arial Nova Light" w:hAnsi="Arial Nova Light"/>
            <w:color w:val="31849B" w:themeColor="accent5" w:themeShade="BF"/>
            <w:sz w:val="18"/>
            <w:szCs w:val="18"/>
            <w:lang w:eastAsia="en-US"/>
          </w:rPr>
          <w:tab/>
        </w:r>
        <w:r w:rsidR="001827F5" w:rsidRPr="00006D4D">
          <w:rPr>
            <w:rFonts w:ascii="Arial Nova Light" w:hAnsi="Arial Nova Light"/>
            <w:color w:val="31849B" w:themeColor="accent5" w:themeShade="BF"/>
            <w:sz w:val="18"/>
            <w:szCs w:val="18"/>
            <w:lang w:eastAsia="en-US"/>
          </w:rPr>
          <w:tab/>
        </w:r>
        <w:r w:rsidR="001827F5" w:rsidRPr="00006D4D">
          <w:rPr>
            <w:rFonts w:ascii="Arial Nova Light" w:hAnsi="Arial Nova Light"/>
            <w:color w:val="31849B" w:themeColor="accent5" w:themeShade="BF"/>
            <w:sz w:val="18"/>
            <w:szCs w:val="18"/>
            <w:lang w:eastAsia="en-US"/>
          </w:rPr>
          <w:tab/>
        </w:r>
        <w:r w:rsidR="001827F5">
          <w:rPr>
            <w:rFonts w:ascii="Arial Nova Light" w:hAnsi="Arial Nova Light"/>
            <w:color w:val="31849B" w:themeColor="accent5" w:themeShade="BF"/>
            <w:sz w:val="18"/>
            <w:szCs w:val="18"/>
            <w:lang w:eastAsia="en-US"/>
          </w:rPr>
          <w:t xml:space="preserve">  </w:t>
        </w:r>
        <w:r w:rsidR="001827F5" w:rsidRPr="00006D4D">
          <w:rPr>
            <w:rFonts w:ascii="Arial Nova Light" w:hAnsi="Arial Nova Light"/>
            <w:color w:val="31849B" w:themeColor="accent5" w:themeShade="BF"/>
            <w:sz w:val="18"/>
            <w:szCs w:val="18"/>
            <w:lang w:eastAsia="en-US"/>
          </w:rPr>
          <w:tab/>
        </w:r>
        <w:r w:rsidR="001827F5">
          <w:rPr>
            <w:rFonts w:ascii="Arial Nova Light" w:hAnsi="Arial Nova Light"/>
            <w:color w:val="31849B" w:themeColor="accent5" w:themeShade="BF"/>
            <w:sz w:val="18"/>
            <w:szCs w:val="18"/>
            <w:lang w:eastAsia="en-US"/>
          </w:rPr>
          <w:t xml:space="preserve">  </w:t>
        </w:r>
        <w:r w:rsidR="001827F5" w:rsidRPr="00006D4D">
          <w:rPr>
            <w:rFonts w:ascii="Arial Nova Light" w:hAnsi="Arial Nova Light"/>
            <w:color w:val="31849B" w:themeColor="accent5" w:themeShade="BF"/>
            <w:sz w:val="18"/>
            <w:szCs w:val="18"/>
            <w:lang w:eastAsia="en-US"/>
          </w:rPr>
          <w:t xml:space="preserve">Policy Created: 2018  </w:t>
        </w:r>
        <w:r w:rsidR="001827F5" w:rsidRPr="00006D4D">
          <w:rPr>
            <w:rFonts w:ascii="Arial Nova Light" w:hAnsi="Arial Nova Light"/>
            <w:color w:val="31849B" w:themeColor="accent5" w:themeShade="BF"/>
            <w:sz w:val="18"/>
            <w:szCs w:val="18"/>
            <w:lang w:eastAsia="en-US"/>
          </w:rPr>
          <w:tab/>
          <w:t xml:space="preserve">                                                                                                                                           </w:t>
        </w:r>
      </w:sdtContent>
    </w:sdt>
    <w:r w:rsidR="001827F5" w:rsidRPr="00006D4D">
      <w:rPr>
        <w:sz w:val="22"/>
        <w:szCs w:val="20"/>
        <w:lang w:eastAsia="en-US"/>
      </w:rPr>
      <w:t xml:space="preserve"> </w:t>
    </w:r>
    <w:r w:rsidR="001827F5" w:rsidRPr="00006D4D">
      <w:rPr>
        <w:rFonts w:ascii="Arial Nova Light" w:hAnsi="Arial Nova Light"/>
        <w:color w:val="31849B" w:themeColor="accent5" w:themeShade="BF"/>
        <w:sz w:val="18"/>
        <w:szCs w:val="18"/>
        <w:lang w:eastAsia="en-US"/>
      </w:rPr>
      <w:ptab w:relativeTo="margin" w:alignment="center" w:leader="none"/>
    </w:r>
    <w:r w:rsidR="001827F5" w:rsidRPr="00006D4D">
      <w:rPr>
        <w:rFonts w:ascii="Arial Nova Light" w:hAnsi="Arial Nova Light"/>
        <w:color w:val="31849B" w:themeColor="accent5" w:themeShade="BF"/>
        <w:sz w:val="18"/>
        <w:szCs w:val="18"/>
        <w:lang w:eastAsia="en-US"/>
      </w:rPr>
      <w:ptab w:relativeTo="margin" w:alignment="right" w:leader="none"/>
    </w:r>
    <w:r w:rsidR="001827F5" w:rsidRPr="00006D4D">
      <w:rPr>
        <w:rFonts w:ascii="Arial Nova Light" w:hAnsi="Arial Nova Light"/>
        <w:color w:val="31849B" w:themeColor="accent5" w:themeShade="BF"/>
        <w:sz w:val="18"/>
        <w:szCs w:val="18"/>
        <w:lang w:eastAsia="en-US"/>
      </w:rPr>
      <w:t>Policy Reviewed: July 2021</w:t>
    </w:r>
    <w:r w:rsidR="001827F5">
      <w:rPr>
        <w:rFonts w:ascii="Arial Nova Light" w:hAnsi="Arial Nova Light"/>
        <w:color w:val="31849B" w:themeColor="accent5" w:themeShade="BF"/>
        <w:sz w:val="18"/>
        <w:szCs w:val="18"/>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CFBB" w14:textId="77777777" w:rsidR="00735C36" w:rsidRDefault="00735C36" w:rsidP="001827F5">
      <w:r>
        <w:separator/>
      </w:r>
    </w:p>
  </w:footnote>
  <w:footnote w:type="continuationSeparator" w:id="0">
    <w:p w14:paraId="1AABA746" w14:textId="77777777" w:rsidR="00735C36" w:rsidRDefault="00735C36" w:rsidP="0018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6D81" w14:textId="24666E5F" w:rsidR="001827F5" w:rsidRPr="001827F5" w:rsidRDefault="001827F5" w:rsidP="00571089">
    <w:pPr>
      <w:pStyle w:val="Header"/>
      <w:jc w:val="right"/>
      <w:rPr>
        <w:rFonts w:ascii="Arial Nova" w:hAnsi="Arial Nova"/>
      </w:rPr>
    </w:pPr>
    <w:r>
      <w:tab/>
    </w:r>
    <w:r>
      <w:tab/>
    </w:r>
    <w:r w:rsidRPr="001827F5">
      <w:rPr>
        <w:rFonts w:ascii="Arial Nova" w:hAnsi="Arial Nova"/>
        <w:color w:val="B6DDE8" w:themeColor="accent5" w:themeTint="66"/>
      </w:rPr>
      <w:t>CP17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00A1"/>
    <w:multiLevelType w:val="hybridMultilevel"/>
    <w:tmpl w:val="94949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8E37A6"/>
    <w:multiLevelType w:val="hybridMultilevel"/>
    <w:tmpl w:val="3AE6D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1A"/>
    <w:rsid w:val="00034ECC"/>
    <w:rsid w:val="00035B21"/>
    <w:rsid w:val="000813D4"/>
    <w:rsid w:val="001827F5"/>
    <w:rsid w:val="001D56CD"/>
    <w:rsid w:val="002F0BA5"/>
    <w:rsid w:val="0053445A"/>
    <w:rsid w:val="00571089"/>
    <w:rsid w:val="006C383E"/>
    <w:rsid w:val="006D611F"/>
    <w:rsid w:val="00735C36"/>
    <w:rsid w:val="00755057"/>
    <w:rsid w:val="00774358"/>
    <w:rsid w:val="008238DC"/>
    <w:rsid w:val="008412DD"/>
    <w:rsid w:val="00894566"/>
    <w:rsid w:val="00966C4F"/>
    <w:rsid w:val="009B5458"/>
    <w:rsid w:val="00C61A1A"/>
    <w:rsid w:val="00C620B6"/>
    <w:rsid w:val="00F70030"/>
    <w:rsid w:val="00FC0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DDDBB"/>
  <w14:defaultImageDpi w14:val="300"/>
  <w15:docId w15:val="{6B4C25EA-982C-4090-AA25-155EB849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1A"/>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D4"/>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1827F5"/>
    <w:pPr>
      <w:tabs>
        <w:tab w:val="center" w:pos="4513"/>
        <w:tab w:val="right" w:pos="9026"/>
      </w:tabs>
    </w:pPr>
  </w:style>
  <w:style w:type="character" w:customStyle="1" w:styleId="HeaderChar">
    <w:name w:val="Header Char"/>
    <w:basedOn w:val="DefaultParagraphFont"/>
    <w:link w:val="Header"/>
    <w:uiPriority w:val="99"/>
    <w:rsid w:val="001827F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1827F5"/>
    <w:pPr>
      <w:tabs>
        <w:tab w:val="center" w:pos="4513"/>
        <w:tab w:val="right" w:pos="9026"/>
      </w:tabs>
    </w:pPr>
  </w:style>
  <w:style w:type="character" w:customStyle="1" w:styleId="FooterChar">
    <w:name w:val="Footer Char"/>
    <w:basedOn w:val="DefaultParagraphFont"/>
    <w:link w:val="Footer"/>
    <w:uiPriority w:val="99"/>
    <w:rsid w:val="001827F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5</cp:revision>
  <dcterms:created xsi:type="dcterms:W3CDTF">2021-07-12T12:06:00Z</dcterms:created>
  <dcterms:modified xsi:type="dcterms:W3CDTF">2021-08-15T10:15:00Z</dcterms:modified>
</cp:coreProperties>
</file>